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44B2" w14:textId="77777777" w:rsidR="00113C5A" w:rsidRDefault="00113C5A" w:rsidP="00AC35C4">
      <w:pPr>
        <w:pStyle w:val="F2-zkladn"/>
        <w:rPr>
          <w:b/>
          <w:sz w:val="28"/>
          <w:szCs w:val="28"/>
        </w:rPr>
      </w:pPr>
    </w:p>
    <w:p w14:paraId="03CA44B3"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03CA44B4"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618FDB35"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03CA44D7">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AF3821">
        <w:t>30</w:t>
      </w:r>
      <w:r w:rsidR="00065C35">
        <w:t xml:space="preserve">. </w:t>
      </w:r>
      <w:r w:rsidR="00AF3821">
        <w:t>března</w:t>
      </w:r>
      <w:r w:rsidR="00065C35">
        <w:t xml:space="preserve"> </w:t>
      </w:r>
      <w:r w:rsidR="002F5DDB">
        <w:t>202</w:t>
      </w:r>
      <w:r w:rsidR="00AF3821">
        <w:t>1</w:t>
      </w:r>
    </w:p>
    <w:p w14:paraId="5E3C879A" w14:textId="77777777" w:rsidR="00AF3821" w:rsidRPr="00AF3821" w:rsidRDefault="00AF3821" w:rsidP="00AF3821">
      <w:pPr>
        <w:pStyle w:val="F2-zkladn"/>
        <w:tabs>
          <w:tab w:val="right" w:pos="9070"/>
        </w:tabs>
        <w:rPr>
          <w:b/>
          <w:bCs/>
          <w:sz w:val="28"/>
          <w:szCs w:val="28"/>
        </w:rPr>
      </w:pPr>
      <w:bookmarkStart w:id="0" w:name="_Hlk67922355"/>
      <w:r w:rsidRPr="00AF3821">
        <w:rPr>
          <w:b/>
          <w:bCs/>
          <w:sz w:val="28"/>
          <w:szCs w:val="28"/>
        </w:rPr>
        <w:t xml:space="preserve">Výhled </w:t>
      </w:r>
      <w:proofErr w:type="spellStart"/>
      <w:r w:rsidRPr="00AF3821">
        <w:rPr>
          <w:b/>
          <w:bCs/>
          <w:sz w:val="28"/>
          <w:szCs w:val="28"/>
        </w:rPr>
        <w:t>Fidelity</w:t>
      </w:r>
      <w:proofErr w:type="spellEnd"/>
      <w:r w:rsidRPr="00AF3821">
        <w:rPr>
          <w:b/>
          <w:bCs/>
          <w:sz w:val="28"/>
          <w:szCs w:val="28"/>
        </w:rPr>
        <w:t xml:space="preserve"> International: Investoři musí brát v úvahu regionální rozdíly</w:t>
      </w:r>
    </w:p>
    <w:bookmarkEnd w:id="0"/>
    <w:p w14:paraId="286DFCF3" w14:textId="77777777" w:rsidR="00D81991" w:rsidRPr="00D81991" w:rsidRDefault="00D81991" w:rsidP="00D81991">
      <w:pPr>
        <w:pStyle w:val="F2-zkladn"/>
        <w:tabs>
          <w:tab w:val="right" w:pos="9070"/>
        </w:tabs>
        <w:rPr>
          <w:b/>
          <w:bCs/>
          <w:lang w:eastAsia="x-none"/>
        </w:rPr>
      </w:pPr>
      <w:r w:rsidRPr="00D81991">
        <w:rPr>
          <w:b/>
          <w:bCs/>
          <w:lang w:eastAsia="x-none"/>
        </w:rPr>
        <w:t xml:space="preserve">Regionální rozdíly budou s tím, jak bude postupovat vakcinace v různých lokalitách celého světa, pro investory v roce 2021 klíčové. Analytici </w:t>
      </w:r>
      <w:proofErr w:type="spellStart"/>
      <w:r w:rsidRPr="00D81991">
        <w:rPr>
          <w:b/>
          <w:bCs/>
          <w:lang w:eastAsia="x-none"/>
        </w:rPr>
        <w:t>Fidelity</w:t>
      </w:r>
      <w:proofErr w:type="spellEnd"/>
      <w:r w:rsidRPr="00D81991">
        <w:rPr>
          <w:b/>
          <w:bCs/>
          <w:lang w:eastAsia="x-none"/>
        </w:rPr>
        <w:t xml:space="preserve"> International v analýze popisují převládající regionální trendy očekáváné v následujících dvanácti měsících. </w:t>
      </w:r>
    </w:p>
    <w:p w14:paraId="1E8DB7B1" w14:textId="77777777" w:rsidR="00D81991" w:rsidRPr="00D81991" w:rsidRDefault="00D81991" w:rsidP="00D81991">
      <w:pPr>
        <w:pStyle w:val="F2-zkladn"/>
        <w:tabs>
          <w:tab w:val="right" w:pos="9070"/>
        </w:tabs>
        <w:rPr>
          <w:b/>
          <w:bCs/>
          <w:lang w:eastAsia="x-none"/>
        </w:rPr>
      </w:pPr>
      <w:r w:rsidRPr="00D81991">
        <w:rPr>
          <w:b/>
          <w:bCs/>
          <w:lang w:eastAsia="x-none"/>
        </w:rPr>
        <w:t xml:space="preserve">▪ Severoameričtí analytici očekávají od </w:t>
      </w:r>
      <w:proofErr w:type="spellStart"/>
      <w:r w:rsidRPr="00D81991">
        <w:rPr>
          <w:b/>
          <w:bCs/>
          <w:lang w:eastAsia="x-none"/>
        </w:rPr>
        <w:t>Bidenovy</w:t>
      </w:r>
      <w:proofErr w:type="spellEnd"/>
      <w:r w:rsidRPr="00D81991">
        <w:rPr>
          <w:b/>
          <w:bCs/>
          <w:lang w:eastAsia="x-none"/>
        </w:rPr>
        <w:t xml:space="preserve"> vlády podporu fiskální politiky a vyšší regulaci.</w:t>
      </w:r>
    </w:p>
    <w:p w14:paraId="3DCCCABB" w14:textId="77777777" w:rsidR="00D81991" w:rsidRPr="00D81991" w:rsidRDefault="00D81991" w:rsidP="00D81991">
      <w:pPr>
        <w:pStyle w:val="F2-zkladn"/>
        <w:tabs>
          <w:tab w:val="right" w:pos="9070"/>
        </w:tabs>
        <w:rPr>
          <w:b/>
          <w:bCs/>
          <w:lang w:eastAsia="x-none"/>
        </w:rPr>
      </w:pPr>
      <w:r w:rsidRPr="00D81991">
        <w:rPr>
          <w:b/>
          <w:bCs/>
          <w:lang w:eastAsia="x-none"/>
        </w:rPr>
        <w:t>▪ Evropští analytici jsou optimističtí, zejména pro druhou polovinu roku, a očekávají největší pokles dluhu ze všech sledovaných regionů.</w:t>
      </w:r>
    </w:p>
    <w:p w14:paraId="748A4212" w14:textId="77777777" w:rsidR="00D81991" w:rsidRPr="00D81991" w:rsidRDefault="00D81991" w:rsidP="00D81991">
      <w:pPr>
        <w:pStyle w:val="F2-zkladn"/>
        <w:tabs>
          <w:tab w:val="right" w:pos="9070"/>
        </w:tabs>
        <w:rPr>
          <w:b/>
          <w:bCs/>
          <w:lang w:eastAsia="x-none"/>
        </w:rPr>
      </w:pPr>
      <w:r w:rsidRPr="00D81991">
        <w:rPr>
          <w:b/>
          <w:bCs/>
          <w:lang w:eastAsia="x-none"/>
        </w:rPr>
        <w:t>▪ Čínští analytici pozorují společnosti, které se nachází v procesu obnovy, a předpovídají nárůst nákladů financování v jednotlivých společnostech.</w:t>
      </w:r>
    </w:p>
    <w:p w14:paraId="32F6E1FB" w14:textId="77777777" w:rsidR="00820FED" w:rsidRPr="00820FED" w:rsidRDefault="00820FED" w:rsidP="00820FED">
      <w:pPr>
        <w:pStyle w:val="F2-zkladn"/>
        <w:tabs>
          <w:tab w:val="right" w:pos="9070"/>
        </w:tabs>
      </w:pPr>
      <w:r w:rsidRPr="00820FED">
        <w:rPr>
          <w:u w:val="single"/>
        </w:rPr>
        <w:t xml:space="preserve">Severní Amerika: </w:t>
      </w:r>
      <w:r w:rsidRPr="00820FED">
        <w:t>Je optimistická, co se týče fiskální podpory.</w:t>
      </w:r>
    </w:p>
    <w:p w14:paraId="44483453" w14:textId="77777777" w:rsidR="00820FED" w:rsidRPr="00820FED" w:rsidRDefault="00820FED" w:rsidP="00820FED">
      <w:pPr>
        <w:pStyle w:val="F2-zkladn"/>
        <w:tabs>
          <w:tab w:val="right" w:pos="9070"/>
        </w:tabs>
      </w:pPr>
      <w:r w:rsidRPr="00820FED">
        <w:t>„</w:t>
      </w:r>
      <w:r w:rsidRPr="00820FED">
        <w:rPr>
          <w:i/>
          <w:iCs/>
        </w:rPr>
        <w:t xml:space="preserve">Našich 45 analytiků pokrývajících Severní Ameriku zdůrazňuje v letošním roce dvě klíčová témata – vliv nedávných amerických voleb a návrat k normálnímu podnikání po pandemii. Nová administrativa pod vedením prezidenta </w:t>
      </w:r>
      <w:proofErr w:type="spellStart"/>
      <w:r w:rsidRPr="00820FED">
        <w:rPr>
          <w:i/>
          <w:iCs/>
        </w:rPr>
        <w:t>Joe</w:t>
      </w:r>
      <w:proofErr w:type="spellEnd"/>
      <w:r w:rsidRPr="00820FED">
        <w:rPr>
          <w:i/>
          <w:iCs/>
        </w:rPr>
        <w:t xml:space="preserve"> </w:t>
      </w:r>
      <w:proofErr w:type="spellStart"/>
      <w:r w:rsidRPr="00820FED">
        <w:rPr>
          <w:i/>
          <w:iCs/>
        </w:rPr>
        <w:t>Bidena</w:t>
      </w:r>
      <w:proofErr w:type="spellEnd"/>
      <w:r w:rsidRPr="00820FED">
        <w:rPr>
          <w:i/>
          <w:iCs/>
        </w:rPr>
        <w:t xml:space="preserve">, stejně jako aktivity </w:t>
      </w:r>
      <w:proofErr w:type="gramStart"/>
      <w:r w:rsidRPr="00820FED">
        <w:rPr>
          <w:i/>
          <w:iCs/>
        </w:rPr>
        <w:t>Demokratů</w:t>
      </w:r>
      <w:proofErr w:type="gramEnd"/>
      <w:r w:rsidRPr="00820FED">
        <w:rPr>
          <w:i/>
          <w:iCs/>
        </w:rPr>
        <w:t xml:space="preserve"> v Kongresu mohou mít značné důsledky na fiskální politiku a předpisy. Zejména na ty, které ovlivňují životní prostředí</w:t>
      </w:r>
      <w:r w:rsidRPr="00820FED">
        <w:t>,“ upozorňuje analytik severoamerických trhů.</w:t>
      </w:r>
    </w:p>
    <w:p w14:paraId="210C1B56" w14:textId="77777777" w:rsidR="00820FED" w:rsidRPr="00820FED" w:rsidRDefault="00820FED" w:rsidP="00820FED">
      <w:pPr>
        <w:pStyle w:val="F2-zkladn"/>
        <w:tabs>
          <w:tab w:val="right" w:pos="9070"/>
        </w:tabs>
      </w:pPr>
      <w:r w:rsidRPr="00820FED">
        <w:t xml:space="preserve">Téměř polovina analytiků </w:t>
      </w:r>
      <w:proofErr w:type="spellStart"/>
      <w:r w:rsidRPr="00820FED">
        <w:t>Fidelity</w:t>
      </w:r>
      <w:proofErr w:type="spellEnd"/>
      <w:r w:rsidRPr="00820FED">
        <w:t xml:space="preserve"> International očekává, že fiskální politika bude v letošním roce pro společnosti, kterým se věnují, v čisté hodnotě pozitivní. Může to ale vypadat i jinak, protože po vyšších vládních výdajích může následovat zvýšení daní. Pouze 18 procent analytiků </w:t>
      </w:r>
      <w:proofErr w:type="spellStart"/>
      <w:r w:rsidRPr="00820FED">
        <w:t>Fidelity</w:t>
      </w:r>
      <w:proofErr w:type="spellEnd"/>
      <w:r w:rsidRPr="00820FED">
        <w:t xml:space="preserve"> International předpovídá, že geopolitika bude mít v letošním roce negativní dopad na investiční plány, oproti téměř 60 procentům analytiků, kteří si to mysleli v loňském roce. Očekává se také odeznění škod způsobených protekcionismem. Možnost vyšší regulatorní zátěže je dalším výsledkem nedávných voleb v –USA. Něco málo přes polovinu analytiků zabývajících se Severní Amerikou očekává nárůst regulace, což je více než celosvětový průměr, který činí 37 procent.</w:t>
      </w:r>
    </w:p>
    <w:p w14:paraId="68817B25" w14:textId="77777777" w:rsidR="00820FED" w:rsidRPr="00820FED" w:rsidRDefault="00820FED" w:rsidP="00820FED">
      <w:pPr>
        <w:pStyle w:val="F2-zkladn"/>
        <w:tabs>
          <w:tab w:val="right" w:pos="9070"/>
        </w:tabs>
      </w:pPr>
      <w:r w:rsidRPr="00820FED">
        <w:t>Celkově je sentiment spíše pozitivní, přičemž zhruba čtyři z pěti analytiků říkají, že vedení společností si je letos jistější ohledně plánovaných investic. Téměř 60 procent analytiků očekává zvýšení. návratnosti kapitálu, přičemž většina z nich uvedla jako hlavního hybatele vyšší poptávku. „</w:t>
      </w:r>
      <w:r w:rsidRPr="00820FED">
        <w:rPr>
          <w:i/>
          <w:iCs/>
        </w:rPr>
        <w:t>Během pandemie zaujali stavaři opatrný přístup, avšak nyní uznávají, že musí znovu začít utrácet, aby uspokojili rostoucí poptávku</w:t>
      </w:r>
      <w:r w:rsidRPr="00820FED">
        <w:t>," komentoval jeden analytik situaci ve stavebnictví. Pandemie ovlivňuje také podobu trhu. Zákazníci se například přesunuli k větším značkám a společnosti s lepší kapitalizací pokračovaly v investování, což jim umožnilo zvýšit podíl na trhu. „</w:t>
      </w:r>
      <w:r w:rsidRPr="00820FED">
        <w:rPr>
          <w:i/>
          <w:iCs/>
        </w:rPr>
        <w:t xml:space="preserve">Omezení nabídky v oblasti restauratérství, které </w:t>
      </w:r>
      <w:r w:rsidRPr="00820FED">
        <w:rPr>
          <w:i/>
          <w:iCs/>
        </w:rPr>
        <w:lastRenderedPageBreak/>
        <w:t>bylo způsobené pandemií, dává prostor pro pozitivní překvapení</w:t>
      </w:r>
      <w:r w:rsidRPr="00820FED">
        <w:t>,“ poznamenává analytik a dodává: „</w:t>
      </w:r>
      <w:r w:rsidRPr="00820FED">
        <w:rPr>
          <w:i/>
          <w:iCs/>
        </w:rPr>
        <w:t>Přežívající restaurace budou pravděpodobně těžit ze zvýšeného tržního podílu</w:t>
      </w:r>
      <w:r w:rsidRPr="00820FED">
        <w:t>."</w:t>
      </w:r>
    </w:p>
    <w:p w14:paraId="4A5E3087" w14:textId="77777777" w:rsidR="00820FED" w:rsidRPr="00820FED" w:rsidRDefault="00820FED" w:rsidP="00820FED">
      <w:pPr>
        <w:pStyle w:val="F2-zkladn"/>
        <w:tabs>
          <w:tab w:val="right" w:pos="9070"/>
        </w:tabs>
      </w:pPr>
      <w:r w:rsidRPr="00820FED">
        <w:rPr>
          <w:u w:val="single"/>
        </w:rPr>
        <w:t>Evropa:</w:t>
      </w:r>
      <w:r w:rsidRPr="00820FED">
        <w:t xml:space="preserve"> Nízké sazby a silnější rozvahy</w:t>
      </w:r>
    </w:p>
    <w:p w14:paraId="1A788F13" w14:textId="77777777" w:rsidR="00820FED" w:rsidRPr="00820FED" w:rsidRDefault="00820FED" w:rsidP="00820FED">
      <w:pPr>
        <w:pStyle w:val="F2-zkladn"/>
        <w:tabs>
          <w:tab w:val="right" w:pos="9070"/>
        </w:tabs>
      </w:pPr>
      <w:r w:rsidRPr="00820FED">
        <w:t xml:space="preserve">Analytici </w:t>
      </w:r>
      <w:proofErr w:type="spellStart"/>
      <w:r w:rsidRPr="00820FED">
        <w:t>Fidelity</w:t>
      </w:r>
      <w:proofErr w:type="spellEnd"/>
      <w:r w:rsidRPr="00820FED">
        <w:t xml:space="preserve"> International pokrývající Evropu jsou v roce 2021 optimističtí. Přestože rozšíření dalších variant Covid-19 může zpomalit opětovný nástup ekonomické aktivity v mnoha odvětvích, v lednu to znamenalo utlumení hlavních meziměsíčních ukazatelů a důvěry v management, nyní převládá názor, že druhá polovina roku bude mnohem pozitivnější.</w:t>
      </w:r>
    </w:p>
    <w:p w14:paraId="1E159230" w14:textId="77777777" w:rsidR="00820FED" w:rsidRPr="00820FED" w:rsidRDefault="00820FED" w:rsidP="00820FED">
      <w:pPr>
        <w:pStyle w:val="F2-zkladn"/>
        <w:tabs>
          <w:tab w:val="right" w:pos="9070"/>
        </w:tabs>
      </w:pPr>
      <w:r w:rsidRPr="00820FED">
        <w:t>Analytici očekávají, že se omezení v souvislosti s Covid-19 zmírní, jakmile vlády zajistí více vakcín. Důvěra se vrátí spolu s mobilitou populace. „</w:t>
      </w:r>
      <w:r w:rsidRPr="00820FED">
        <w:rPr>
          <w:i/>
          <w:iCs/>
        </w:rPr>
        <w:t>Existuje i prostor pro to, aby oživení poptávky v roce 2021 překonalo očekávání, jakmile se situace vrátí do normálu</w:t>
      </w:r>
      <w:r w:rsidRPr="00820FED">
        <w:t xml:space="preserve">,“ poznamenává evropský analytik zabývající se </w:t>
      </w:r>
      <w:bookmarkStart w:id="1" w:name="_Hlk67566934"/>
      <w:r w:rsidRPr="00820FED">
        <w:t>oděvním průmyslem a luxusním zbožím</w:t>
      </w:r>
      <w:bookmarkEnd w:id="1"/>
      <w:r w:rsidRPr="00820FED">
        <w:t>. „</w:t>
      </w:r>
      <w:r w:rsidRPr="00820FED">
        <w:rPr>
          <w:i/>
          <w:iCs/>
        </w:rPr>
        <w:t>Mnou sledované společnosti byly překvapeny dosavadním oživením poptávky po luxusu i robustností čínské poptávky</w:t>
      </w:r>
      <w:r w:rsidRPr="00820FED">
        <w:t>."</w:t>
      </w:r>
    </w:p>
    <w:p w14:paraId="3C95FD73" w14:textId="77777777" w:rsidR="00820FED" w:rsidRPr="00820FED" w:rsidRDefault="00820FED" w:rsidP="00820FED">
      <w:pPr>
        <w:pStyle w:val="F2-zkladn"/>
        <w:tabs>
          <w:tab w:val="right" w:pos="9070"/>
        </w:tabs>
      </w:pPr>
      <w:r w:rsidRPr="00820FED">
        <w:t>Dvě třetiny analytiků očekávají v Evropě větší pokles zadlužení než v kterémkoli jiném regionu. Mnoho společností využilo v roce 2020 nižších nákladů na získání financí a vládní podporu k nadměrnému nebo předběžnému financování. Silnější rozvahy, nízké sazby a jasnější očekávání připravují půdu pro fúze a akvizice, které byly během pandemie omezené. „</w:t>
      </w:r>
      <w:r w:rsidRPr="00820FED">
        <w:rPr>
          <w:i/>
          <w:iCs/>
        </w:rPr>
        <w:t>Již před pandemií docházelo v odvětví k divergenci mezi vítězi a poraženými</w:t>
      </w:r>
      <w:r w:rsidRPr="00820FED">
        <w:t>," pokračuje analytik oděvního průmyslu a luxusního zboží. „</w:t>
      </w:r>
      <w:r w:rsidRPr="00820FED">
        <w:rPr>
          <w:i/>
          <w:iCs/>
        </w:rPr>
        <w:t>Díky krizi se tento rozdíl ještě zvýraznil. Vítězové se stávají silnějšími díky solidním rozvahám, které, jak předpokládám, využijí k rostoucímu počtu fúzí a akvizic v roce 2021</w:t>
      </w:r>
      <w:r w:rsidRPr="00820FED">
        <w:t>."</w:t>
      </w:r>
    </w:p>
    <w:p w14:paraId="6128FF97" w14:textId="77777777" w:rsidR="00820FED" w:rsidRPr="00820FED" w:rsidRDefault="00820FED" w:rsidP="00820FED">
      <w:pPr>
        <w:pStyle w:val="F2-zkladn"/>
        <w:tabs>
          <w:tab w:val="right" w:pos="9070"/>
        </w:tabs>
      </w:pPr>
      <w:r w:rsidRPr="00820FED">
        <w:t xml:space="preserve">Geopolitické riziko stále brání investičním plánům. 44 procent analytiků </w:t>
      </w:r>
      <w:proofErr w:type="spellStart"/>
      <w:r w:rsidRPr="00820FED">
        <w:t>Fidelity</w:t>
      </w:r>
      <w:proofErr w:type="spellEnd"/>
      <w:r w:rsidRPr="00820FED">
        <w:t xml:space="preserve"> International zabývajících se evropskými společnostmi očekává, že geopolitika bude mít v letošním roce negativní dopad, což je víc než v kterémkoliv jiném regionu, kromě Číny. Je to jen o něco méně než v loňském roce, a to i přes nedávné rozhodnutí o </w:t>
      </w:r>
      <w:proofErr w:type="spellStart"/>
      <w:r w:rsidRPr="00820FED">
        <w:t>Brexitu</w:t>
      </w:r>
      <w:proofErr w:type="spellEnd"/>
      <w:r w:rsidRPr="00820FED">
        <w:t>. Mnoho evropských společností má globální síť odběratelů a několik analytiků uvádí napětí mezi USA a Čínou jako hnací motor tohoto dopadu.</w:t>
      </w:r>
    </w:p>
    <w:p w14:paraId="7CE22363" w14:textId="77777777" w:rsidR="00820FED" w:rsidRPr="00820FED" w:rsidRDefault="00820FED" w:rsidP="00820FED">
      <w:pPr>
        <w:pStyle w:val="F2-zkladn"/>
        <w:tabs>
          <w:tab w:val="right" w:pos="9070"/>
        </w:tabs>
        <w:rPr>
          <w:u w:val="single"/>
        </w:rPr>
      </w:pPr>
      <w:r w:rsidRPr="00820FED">
        <w:rPr>
          <w:u w:val="single"/>
        </w:rPr>
        <w:t xml:space="preserve">Čína: </w:t>
      </w:r>
    </w:p>
    <w:p w14:paraId="0A747D83" w14:textId="77777777" w:rsidR="00820FED" w:rsidRPr="00820FED" w:rsidRDefault="00820FED" w:rsidP="00820FED">
      <w:pPr>
        <w:pStyle w:val="F2-zkladn"/>
        <w:tabs>
          <w:tab w:val="right" w:pos="9070"/>
        </w:tabs>
      </w:pPr>
      <w:r w:rsidRPr="00820FED">
        <w:t xml:space="preserve">Sentiment naznačuje udržení pozice v čele globálního oživení. Podle průzkumu analytiků </w:t>
      </w:r>
      <w:proofErr w:type="spellStart"/>
      <w:r w:rsidRPr="00820FED">
        <w:t>Fidelity</w:t>
      </w:r>
      <w:proofErr w:type="spellEnd"/>
      <w:r w:rsidRPr="00820FED">
        <w:t xml:space="preserve">, vstupují čínští manažeři do roku 2021, roku Buvola čínského lunárního kalendáře, stále optimističtěji ohledně ekonomických výhledů, a to včetně plánů na zvýšení kapitálových výdajů a najímání dalších pracovníků. </w:t>
      </w:r>
    </w:p>
    <w:p w14:paraId="31FFB779" w14:textId="77777777" w:rsidR="00820FED" w:rsidRPr="00820FED" w:rsidRDefault="00820FED" w:rsidP="00820FED">
      <w:pPr>
        <w:pStyle w:val="F2-zkladn"/>
        <w:tabs>
          <w:tab w:val="right" w:pos="9070"/>
        </w:tabs>
      </w:pPr>
      <w:r w:rsidRPr="00820FED">
        <w:t xml:space="preserve">Více než polovina analytiků </w:t>
      </w:r>
      <w:proofErr w:type="spellStart"/>
      <w:r w:rsidRPr="00820FED">
        <w:t>Fidelity</w:t>
      </w:r>
      <w:proofErr w:type="spellEnd"/>
      <w:r w:rsidRPr="00820FED">
        <w:t xml:space="preserve"> v Číně uvádí, že manažerské týmy společností mají v roce 2021 větší pocit jistoty, přičemž pouze 4 procenta analytiků zhodnotila, že důvěra byla nižší. V lednu na rozdíl od prosince se optimismus managementu dále zvýšil, což vyvolalo globálně jen mírný sentiment, protože v mnoha zemích se v tu dobu objevily mutace Covid-19. Zotavení se z </w:t>
      </w:r>
      <w:proofErr w:type="spellStart"/>
      <w:r w:rsidRPr="00820FED">
        <w:t>Covid</w:t>
      </w:r>
      <w:proofErr w:type="spellEnd"/>
      <w:r w:rsidRPr="00820FED">
        <w:t xml:space="preserve"> krize „první dovnitř, první ven“ je nejlepší v Číně, kde šíření </w:t>
      </w:r>
      <w:proofErr w:type="spellStart"/>
      <w:r w:rsidRPr="00820FED">
        <w:t>koronaviru</w:t>
      </w:r>
      <w:proofErr w:type="spellEnd"/>
      <w:r w:rsidRPr="00820FED">
        <w:t xml:space="preserve"> zůstává z velké části pod kontrolou a čínští vývozci těží z výhod vzniklých v důsledku poruch na straně nabídky v západních zemích. I když se zdá, že globální firmy jsou v počáteční fázi oživení, analytici </w:t>
      </w:r>
      <w:proofErr w:type="spellStart"/>
      <w:r w:rsidRPr="00820FED">
        <w:t>Fidelity</w:t>
      </w:r>
      <w:proofErr w:type="spellEnd"/>
      <w:r w:rsidRPr="00820FED">
        <w:t xml:space="preserve"> v Číně uvádějí, že jejich společnosti jsou už v ekonomickém cyklu dál.  36 procent uvedlo, že jejich odvětví jsou ve střední fázi expanze ve srovnání s celosvětovým průměrem, kde to pozoruje jen 24 procent analytiků. A pouze 18 procent čínských analytiků hlásí, že jimi pokrývaná odvětví jsou ve fázi počátečního oživení, což je výrazně pod celosvětovým průměrem analytiků – 34 procent. Čínští analytici jsou více než analytici v ostatních </w:t>
      </w:r>
      <w:r w:rsidRPr="00820FED">
        <w:lastRenderedPageBreak/>
        <w:t xml:space="preserve">regionech optimističtí ohledně růstu počtu pracovních míst v příštích 12 měsících. Analytici </w:t>
      </w:r>
      <w:proofErr w:type="spellStart"/>
      <w:r w:rsidRPr="00820FED">
        <w:t>Fidelity</w:t>
      </w:r>
      <w:proofErr w:type="spellEnd"/>
      <w:r w:rsidRPr="00820FED">
        <w:t xml:space="preserve"> International očekávají letos nárůst počtu pracovních sil v čínských společnostech v průměru o 6 procent ve srovnání s celosvětovým průměrem, kde by mělo jít o dvouprocentní růst. V Evropě a Japonsku se bude spíš jednat o pokles.</w:t>
      </w:r>
    </w:p>
    <w:p w14:paraId="03CA44BB" w14:textId="77777777" w:rsidR="001A0CB6" w:rsidRPr="009C3DB4" w:rsidRDefault="001A0CB6" w:rsidP="00AC35C4">
      <w:pPr>
        <w:pStyle w:val="F2-zkladn"/>
        <w:tabs>
          <w:tab w:val="right" w:pos="9070"/>
        </w:tabs>
        <w:rPr>
          <w:b/>
        </w:rPr>
      </w:pPr>
      <w:r w:rsidRPr="009C3DB4">
        <w:rPr>
          <w:b/>
        </w:rPr>
        <w:t>Pro více informací kontaktujte:</w:t>
      </w:r>
    </w:p>
    <w:p w14:paraId="03CA44BC" w14:textId="77777777" w:rsidR="001A0CB6" w:rsidRPr="009C3DB4" w:rsidRDefault="001A0CB6" w:rsidP="00AC35C4">
      <w:pPr>
        <w:spacing w:before="0" w:line="360" w:lineRule="auto"/>
        <w:rPr>
          <w:b/>
        </w:rPr>
      </w:pPr>
    </w:p>
    <w:p w14:paraId="03CA44BD" w14:textId="77777777" w:rsidR="001A0CB6" w:rsidRPr="009C3DB4" w:rsidRDefault="001A0CB6" w:rsidP="00AC35C4">
      <w:pPr>
        <w:spacing w:before="0" w:line="360" w:lineRule="auto"/>
        <w:rPr>
          <w:b/>
        </w:rPr>
      </w:pPr>
      <w:r w:rsidRPr="009C3DB4">
        <w:rPr>
          <w:b/>
        </w:rPr>
        <w:t>Marcela Štefcová</w:t>
      </w:r>
    </w:p>
    <w:p w14:paraId="03CA44BE" w14:textId="77777777" w:rsidR="001A0CB6" w:rsidRPr="009C3DB4" w:rsidRDefault="001A0CB6" w:rsidP="00AC35C4">
      <w:pPr>
        <w:spacing w:before="0" w:line="240" w:lineRule="atLeast"/>
        <w:rPr>
          <w:b/>
          <w:bCs/>
        </w:rPr>
      </w:pPr>
      <w:r w:rsidRPr="009C3DB4">
        <w:rPr>
          <w:b/>
          <w:bCs/>
        </w:rPr>
        <w:t>Crest Communications, a.s.</w:t>
      </w:r>
    </w:p>
    <w:p w14:paraId="03CA44BF" w14:textId="77777777" w:rsidR="001A0CB6" w:rsidRPr="009C3DB4" w:rsidRDefault="001A0CB6" w:rsidP="00AC35C4">
      <w:pPr>
        <w:spacing w:before="0" w:line="240" w:lineRule="atLeast"/>
      </w:pP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3CA44C3" w14:textId="77777777" w:rsidR="001A0CB6" w:rsidRPr="009C3DB4" w:rsidRDefault="009D74EF"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7777777"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marcela.stefcova@crestcom.cz</w:t>
        </w:r>
      </w:hyperlink>
    </w:p>
    <w:p w14:paraId="03CA44C5" w14:textId="77777777" w:rsidR="00C16BE6" w:rsidRDefault="00C16BE6" w:rsidP="00C16BE6">
      <w:pPr>
        <w:pStyle w:val="F2-zkladn"/>
        <w:rPr>
          <w:b/>
        </w:rPr>
      </w:pPr>
      <w:r w:rsidRPr="009C3DB4">
        <w:rPr>
          <w:b/>
        </w:rPr>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w:t>
      </w:r>
      <w:r w:rsidRPr="00681745">
        <w:rPr>
          <w:color w:val="000000"/>
          <w:sz w:val="18"/>
          <w:szCs w:val="18"/>
          <w:lang w:val="en-US"/>
        </w:rPr>
        <w:lastRenderedPageBreak/>
        <w:t xml:space="preserve">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UniCredit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A057" w14:textId="77777777" w:rsidR="009D74EF" w:rsidRDefault="009D74EF">
      <w:r>
        <w:separator/>
      </w:r>
    </w:p>
  </w:endnote>
  <w:endnote w:type="continuationSeparator" w:id="0">
    <w:p w14:paraId="2CD0330A" w14:textId="77777777" w:rsidR="009D74EF" w:rsidRDefault="009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ED0D3" w14:textId="77777777" w:rsidR="009D74EF" w:rsidRDefault="009D74EF">
      <w:r>
        <w:separator/>
      </w:r>
    </w:p>
  </w:footnote>
  <w:footnote w:type="continuationSeparator" w:id="0">
    <w:p w14:paraId="1569C5DE" w14:textId="77777777" w:rsidR="009D74EF" w:rsidRDefault="009D74EF">
      <w:r>
        <w:continuationSeparator/>
      </w:r>
    </w:p>
  </w:footnote>
  <w:footnote w:type="continuationNotice" w:id="1">
    <w:p w14:paraId="3059138E" w14:textId="77777777" w:rsidR="009D74EF" w:rsidRDefault="009D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1D83"/>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0FED"/>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D74EF"/>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3821"/>
    <w:rsid w:val="00AF4AE5"/>
    <w:rsid w:val="00B04103"/>
    <w:rsid w:val="00B047E9"/>
    <w:rsid w:val="00B05867"/>
    <w:rsid w:val="00B123FF"/>
    <w:rsid w:val="00B142F4"/>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991"/>
    <w:rsid w:val="00D81C1F"/>
    <w:rsid w:val="00D85F98"/>
    <w:rsid w:val="00D869C3"/>
    <w:rsid w:val="00D905D5"/>
    <w:rsid w:val="00D91AE1"/>
    <w:rsid w:val="00D93E7B"/>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0052"/>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styleId="Nevyeenzmnka">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EE14-05DA-4173-8471-32507D0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1839</Words>
  <Characters>10856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12670</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Nikola Spurná</cp:lastModifiedBy>
  <cp:revision>20</cp:revision>
  <cp:lastPrinted>2015-12-01T02:29:00Z</cp:lastPrinted>
  <dcterms:created xsi:type="dcterms:W3CDTF">2020-03-17T12:03:00Z</dcterms:created>
  <dcterms:modified xsi:type="dcterms:W3CDTF">2021-03-30T09:34:00Z</dcterms:modified>
</cp:coreProperties>
</file>